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/WZÓR/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Polityka administracyjna obowiązująca w </w:t>
      </w:r>
      <w:r w:rsidDel="00000000" w:rsidR="00000000" w:rsidRPr="00000000">
        <w:rPr>
          <w:b w:val="1"/>
          <w:highlight w:val="yellow"/>
          <w:rtl w:val="0"/>
        </w:rPr>
        <w:t xml:space="preserve">_______________________</w:t>
      </w:r>
      <w:r w:rsidDel="00000000" w:rsidR="00000000" w:rsidRPr="00000000">
        <w:rPr>
          <w:b w:val="1"/>
          <w:rtl w:val="0"/>
        </w:rPr>
        <w:br w:type="textWrapping"/>
        <w:t xml:space="preserve">(dalej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„</w:t>
      </w:r>
      <w:r w:rsidDel="00000000" w:rsidR="00000000" w:rsidRPr="00000000">
        <w:rPr>
          <w:b w:val="1"/>
          <w:rtl w:val="0"/>
        </w:rPr>
        <w:t xml:space="preserve">Organizacj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a”</w:t>
      </w:r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/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§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Niniejszy dokument, zwany w dalszej treści „</w:t>
      </w:r>
      <w:r w:rsidDel="00000000" w:rsidR="00000000" w:rsidRPr="00000000">
        <w:rPr>
          <w:i w:val="1"/>
          <w:rtl w:val="0"/>
        </w:rPr>
        <w:t xml:space="preserve">Polityką</w:t>
      </w:r>
      <w:r w:rsidDel="00000000" w:rsidR="00000000" w:rsidRPr="00000000">
        <w:rPr>
          <w:rtl w:val="0"/>
        </w:rPr>
        <w:t xml:space="preserve">”, określa zasady i warunki prowadzenia działań administracyjnych w Organizacji.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59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Polityka obowiązuje w szczególności: Zarząd Organizacji (dalej “Zarząd”), jej organ nadzorczy, jej pracowników i pracownice, wszystkie osoby współpracujace z Organizacją na podstawie umów cywilnoprawnych, porozumień o staż, porozumień wolontariackich (dalej “Pracownice”). </w:t>
      </w:r>
    </w:p>
    <w:p w:rsidR="00000000" w:rsidDel="00000000" w:rsidP="00000000" w:rsidRDefault="00000000" w:rsidRPr="00000000" w14:paraId="00000007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§ 2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Organizacja pracy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Praca w Orgnizacji świadczona jest od poniedziałku do piątku.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Praca w soboty, niedziele i święta jest niedopuszczalna.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Godziny pracy w Organizacji i sposób ich wynagradzania ustalane są indywidualnie z Pracownicami w zawartych umowach.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Praca wykonywana w godzinach nadliczbowych rozliczana jest na podstawie przepisów Kodeksu pracy dot. sposobu rozliczania pracy w godzinach nadliczbowych (dot. umów o pracę, umów zlecenie).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Pracownice mogą wykonywać swoje obowiązki w formule zdalnej, z wyjątkiem spotkań stacjonarnych, o których informowane są z co najmniej 2-dniowym wyprzedzeniem.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Pracownice zobowiązane są do znajomości portfolio projektów Organizacji, jej strony internetowej, stron internetowych realizowanych projektów oraz kanałów w mediach społecznościowych.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16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Pracownice wykonujące zadania administracyjne zobowiązane się do znajomości wybranych przepisów prawa wskazanych przez Organizację (w szczególności z Ustawy o fundacjach, Ustawy o działalności pożytku publicznego i o wolontariacie, Ustawy o rachunkowości, Ustawy o Krajowym Rejestrze Sądowym, Ustawy o podatku dochodowym od osób prawnych, Kodeksu pracy, Kodeksu cywilnego, przepisów o ochronie danych osobowych, tzw. RODO).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§ 3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Zawieranie umów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Organizacja zobowiązana jest do zawarcia umowy w formie pisemnej z każdą osobą lub podmiotem świadczącymi na jej rzecz pracę w jakiejkolwiek postaci, współpracującymi na dowolnej podstawie prawnej, wykonującymi usługi stażowe lub wolontariackie.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Rodzaj zawieranej przez Organizację umowy każdorazowo spełnia kryteria jej zawarcia określone w obowiązujących przepisach prawa.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Organizacja zobowiązana jest każdorazowo do zwarcia umowy odpowiedniego rodzaju przed przystąpieniem przez strony umowy do realizacji jej przedmiotu.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Zarząd i Pracownice odpowiedzialne za przygotowanie umowy danego rodzaju posługują się każdorazowo wzorem umowy udostępnionym przez Organizację </w:t>
      </w:r>
      <w:r w:rsidDel="00000000" w:rsidR="00000000" w:rsidRPr="00000000">
        <w:rPr>
          <w:color w:val="202122"/>
          <w:sz w:val="21"/>
          <w:szCs w:val="21"/>
          <w:highlight w:val="yellow"/>
          <w:rtl w:val="0"/>
        </w:rPr>
        <w:t xml:space="preserve">_______________________________</w:t>
      </w: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Do zawieranej przez Organizację umowy należy dołączyć dokumenty, w zależności od typu zawieranej umowy, w szczególności: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do umowy o pracę: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zakres obowiązków pracownicy, 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deklarację o wypłacie wynagrodzenia na konto,  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orzeczenie lekarskie,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oświadczenie o ryzyku zawodowym,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karta szkolenia BHP,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kwestionariusz osobowy,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oświadczenie dot. zarejestrowania w Urząd Pracy i pobierania zasiłku dla bezrobotnych,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oświadczenie PIT-2,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spacing w:after="0" w:afterAutospacing="0" w:line="259" w:lineRule="auto"/>
        <w:ind w:left="2160" w:hanging="360"/>
      </w:pPr>
      <w:r w:rsidDel="00000000" w:rsidR="00000000" w:rsidRPr="00000000">
        <w:rPr>
          <w:rtl w:val="0"/>
        </w:rPr>
        <w:t xml:space="preserve">podpisaną przez osobę zatrudnianą Politykę Antymobbingową i Antydyskryminacyjną obowiązującą w Organizacji,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160" w:line="259" w:lineRule="auto"/>
        <w:ind w:left="2160" w:hanging="360"/>
      </w:pPr>
      <w:r w:rsidDel="00000000" w:rsidR="00000000" w:rsidRPr="00000000">
        <w:rPr>
          <w:rtl w:val="0"/>
        </w:rPr>
        <w:t xml:space="preserve">podpisaną przez osobę zatrudnianą Politykę Administracyjną obowijącującą w Organizacji.</w:t>
      </w:r>
    </w:p>
    <w:p w:rsidR="00000000" w:rsidDel="00000000" w:rsidP="00000000" w:rsidRDefault="00000000" w:rsidRPr="00000000" w14:paraId="00000023">
      <w:pPr>
        <w:spacing w:after="160" w:line="259" w:lineRule="auto"/>
        <w:rPr/>
      </w:pPr>
      <w:r w:rsidDel="00000000" w:rsidR="00000000" w:rsidRPr="00000000">
        <w:rPr>
          <w:rtl w:val="0"/>
        </w:rPr>
        <w:t xml:space="preserve">2) do umowy o dzieło lub umowy zlecenie: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line="259" w:lineRule="auto"/>
        <w:ind w:left="720" w:hanging="360"/>
      </w:pPr>
      <w:r w:rsidDel="00000000" w:rsidR="00000000" w:rsidRPr="00000000">
        <w:rPr>
          <w:rtl w:val="0"/>
        </w:rPr>
        <w:t xml:space="preserve">oświadczenie do celów podatkowych,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line="259" w:lineRule="auto"/>
        <w:ind w:left="720" w:hanging="360"/>
      </w:pPr>
      <w:r w:rsidDel="00000000" w:rsidR="00000000" w:rsidRPr="00000000">
        <w:rPr>
          <w:rtl w:val="0"/>
        </w:rPr>
        <w:t xml:space="preserve">podpisaną przez osobę zatrudnianą Politykę Antymobbingową i Antydyskryminacyjną obowiązującą w Organizacji,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160" w:line="259" w:lineRule="auto"/>
        <w:ind w:left="720" w:hanging="360"/>
      </w:pPr>
      <w:r w:rsidDel="00000000" w:rsidR="00000000" w:rsidRPr="00000000">
        <w:rPr>
          <w:rtl w:val="0"/>
        </w:rPr>
        <w:t xml:space="preserve">podpisaną przez osobę zatrudnianą Politykę Administracyjną obowijącującą w Organizacji.</w:t>
      </w:r>
    </w:p>
    <w:p w:rsidR="00000000" w:rsidDel="00000000" w:rsidP="00000000" w:rsidRDefault="00000000" w:rsidRPr="00000000" w14:paraId="00000027">
      <w:pPr>
        <w:spacing w:after="160" w:line="259" w:lineRule="auto"/>
        <w:ind w:left="2160" w:firstLine="72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§ 4</w:t>
      </w:r>
    </w:p>
    <w:p w:rsidR="00000000" w:rsidDel="00000000" w:rsidP="00000000" w:rsidRDefault="00000000" w:rsidRPr="00000000" w14:paraId="00000029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Obieg dokumentów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Pracownice realizujące zadania administracyjne w Organizacji zobowiązane są do prowadzenia dokumentacji realizowanych przez Organizację projektów.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Wpływający dokument księgowy (rachunek, faktura, nota księgowa, lista płac) powinien być: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podpisany przez Wystawcę i Zamawiającego, jeżeli wymagają tego przepisy prawa lub wynika to z istoty dokumentu,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opisany zgodnie z wytycznymi operatora danego projektu grantowego,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zeskanowany, a jego skan umieszony w katalogu Dropbox odpowiadającemu danemu projektowi, 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przekazany w formie orygniału podmiotowi realizującemu usługę księgową dla Organizacji do 10 dnia kalendarzowego miesiąca następującego po miesiącu wystawienia dokumentu,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16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wprowadzony do rejestru tabelarycznego prowadzonego dla rozliczeń danego projektu realizowanego przez Organizację.</w:t>
      </w:r>
    </w:p>
    <w:p w:rsidR="00000000" w:rsidDel="00000000" w:rsidP="00000000" w:rsidRDefault="00000000" w:rsidRPr="00000000" w14:paraId="00000031">
      <w:pPr>
        <w:spacing w:after="160" w:line="259" w:lineRule="auto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3.  Pracownice realizujące zadania administracyjne w Organizacji zobowiązane są do generowania miesięcznych wyciągów z rachunków bankowych Organizacji i przesyłania ich w formie elektronicznej podmiotowi realizującemu usługę księgową dla Organizacji do 10 dnia kalendarzowego miesiąca następującego po miesiącu objętym wyciągiem.</w:t>
      </w:r>
    </w:p>
    <w:p w:rsidR="00000000" w:rsidDel="00000000" w:rsidP="00000000" w:rsidRDefault="00000000" w:rsidRPr="00000000" w14:paraId="00000032">
      <w:pPr>
        <w:spacing w:after="160" w:line="259" w:lineRule="auto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§ 5</w:t>
      </w:r>
    </w:p>
    <w:p w:rsidR="00000000" w:rsidDel="00000000" w:rsidP="00000000" w:rsidRDefault="00000000" w:rsidRPr="00000000" w14:paraId="00000034">
      <w:pPr>
        <w:spacing w:after="160" w:line="259" w:lineRule="auto"/>
        <w:jc w:val="center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Komunikacja wewnętrzna i zewnętrzna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Podstawową formułą dokumentującą i poświadczającą prowadzone w Organizacji działania jest pisemna notatka udostępniona w adekwatnym katalogu na dysku Google Drive. Powyższe obejmuje w szczególności: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każdorazowe protokołowanie spotkań,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line="259" w:lineRule="auto"/>
        <w:ind w:left="144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pisemną dokumentację działań własnych w formie uzgodnionej przez Organizację. 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Zarząd i Pracownice zobowiązane są do wykorzystywania komunikacji mailowej jako podstawowej formy przekazywania informacji w Organizacji i wobez podmiotów zewnętrznych.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Zarząd i Pracownice zobowiązane są do używania w komunikacji mailowej, o której mowa w ust. 1 wyłącznie adresów mailowych wygenerowanych przez Organizację, opatrzonych zunifikowaną stopką.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spacing w:after="0" w:afterAutospacing="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Jako dodatkową formułę komunikacji pisemnej w Organizacji ustala się komunikator Messenger, pod warunkiem, że Pracownica wyrazi na to zgodę.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160" w:line="259" w:lineRule="auto"/>
        <w:ind w:left="720" w:hanging="360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Wszelka komunikacja (w szczególności: mailowa, za pośrednictwem komunikatorów, telefoniczna) </w:t>
      </w:r>
      <w:r w:rsidDel="00000000" w:rsidR="00000000" w:rsidRPr="00000000">
        <w:rPr>
          <w:color w:val="202122"/>
          <w:sz w:val="21"/>
          <w:szCs w:val="21"/>
          <w:highlight w:val="white"/>
          <w:rtl w:val="0"/>
        </w:rPr>
        <w:t xml:space="preserve">może być prowadzona jedynie w godzinach pracy Zarządu i Pracownic, z wyjątkiem sytuacji nagłych.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color w:val="2021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